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1F3864"/>
          <w:sz w:val="30"/>
          <w:szCs w:val="30"/>
        </w:rPr>
        <w:t xml:space="preserve">ROOF &amp; MASONRY PROJECT</w:t>
      </w:r>
    </w:p>
    <w:p>
      <w:pPr>
        <w:spacing w:after="160" w:before="0" w:line="276"/>
      </w:pPr>
      <w:r>
        <w:rPr>
          <w:rFonts w:ascii="Arial" w:cs="Arial" w:eastAsia="Arial" w:hAnsi="Arial"/>
          <w:b/>
          <w:bCs/>
          <w:color w:val="595959"/>
          <w:sz w:val="23"/>
          <w:szCs w:val="23"/>
        </w:rPr>
        <w:t xml:space="preserve">Summary of Concerns, Independent Findings, and Review of the Proposed Change Order</w:t>
      </w:r>
    </w:p>
    <w:p>
      <w:pPr>
        <w:pBdr>
          <w:bottom w:val="single" w:color="2E75B6" w:sz="6" w:space="1"/>
        </w:pBdr>
        <w:spacing w:after="12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1F3864"/>
                <w:sz w:val="19"/>
                <w:szCs w:val="19"/>
              </w:rPr>
              <w:t xml:space="preserve">Prepared for:</w:t>
            </w:r>
          </w:p>
        </w:tc>
        <w:tc>
          <w:tcPr>
            <w:tcW w:type="dxa" w:w="68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Board of Directors, Cheval Club Condominium Association</w:t>
            </w:r>
          </w:p>
        </w:tc>
      </w:tr>
      <w:tr>
        <w:tc>
          <w:tcPr>
            <w:tcW w:type="dxa" w:w="250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1F3864"/>
                <w:sz w:val="19"/>
                <w:szCs w:val="19"/>
              </w:rPr>
              <w:t xml:space="preserve">Property:</w:t>
            </w:r>
          </w:p>
        </w:tc>
        <w:tc>
          <w:tcPr>
            <w:tcW w:type="dxa" w:w="68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1426 N. Orleans Street, Chicago, IL 60610</w:t>
            </w:r>
          </w:p>
        </w:tc>
      </w:tr>
      <w:tr>
        <w:tc>
          <w:tcPr>
            <w:tcW w:type="dxa" w:w="250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1F3864"/>
                <w:sz w:val="19"/>
                <w:szCs w:val="19"/>
              </w:rPr>
              <w:t xml:space="preserve">Project:</w:t>
            </w:r>
          </w:p>
        </w:tc>
        <w:tc>
          <w:tcPr>
            <w:tcW w:type="dxa" w:w="68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2025 roof replacement &amp; masonry repairs — Ready Home, Inc. (contractor); Kipcon Great Lakes LLC (specifier / contract administrator)</w:t>
            </w:r>
          </w:p>
        </w:tc>
      </w:tr>
      <w:tr>
        <w:tc>
          <w:tcPr>
            <w:tcW w:type="dxa" w:w="250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1F3864"/>
                <w:sz w:val="19"/>
                <w:szCs w:val="19"/>
              </w:rPr>
              <w:t xml:space="preserve">Independent consultant:</w:t>
            </w:r>
          </w:p>
        </w:tc>
        <w:tc>
          <w:tcPr>
            <w:tcW w:type="dxa" w:w="68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Hutchinson Design Group, Ltd. (HDG) — Thomas W. Hutchinson, AIA, RRC — report dated June 18, 2026</w:t>
            </w:r>
          </w:p>
        </w:tc>
      </w:tr>
      <w:tr>
        <w:tc>
          <w:tcPr>
            <w:tcW w:type="dxa" w:w="250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1F3864"/>
                <w:sz w:val="19"/>
                <w:szCs w:val="19"/>
              </w:rPr>
              <w:t xml:space="preserve">Counsel:</w:t>
            </w:r>
          </w:p>
        </w:tc>
        <w:tc>
          <w:tcPr>
            <w:tcW w:type="dxa" w:w="68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Sabina Arutyunyan, Kovitz Shifrin Nesbit</w:t>
            </w:r>
          </w:p>
        </w:tc>
      </w:tr>
      <w:tr>
        <w:tc>
          <w:tcPr>
            <w:tcW w:type="dxa" w:w="250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1F3864"/>
                <w:sz w:val="19"/>
                <w:szCs w:val="19"/>
              </w:rPr>
              <w:t xml:space="preserve">Date:</w:t>
            </w:r>
          </w:p>
        </w:tc>
        <w:tc>
          <w:tcPr>
            <w:tcW w:type="dxa" w:w="68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June 22, 2026</w:t>
            </w:r>
          </w:p>
        </w:tc>
      </w:tr>
    </w:tbl>
    <w:p>
      <w:pPr>
        <w:spacing w:after="60" w:before="0" w:line="276"/>
      </w:pPr>
      <w:r>
        <w:rPr>
          <w:rFonts w:ascii="Arial" w:cs="Arial" w:eastAsia="Arial" w:hAnsi="Arial"/>
          <w:sz w:val="22"/>
          <w:szCs w:val="22"/>
        </w:rPr>
        <w:t xml:space="preserve"/>
      </w:r>
    </w:p>
    <w:p>
      <w:pPr>
        <w:pStyle w:val="Heading1"/>
        <w:spacing w:after="130" w:before="300"/>
      </w:pPr>
      <w:r>
        <w:rPr>
          <w:rFonts w:ascii="Arial" w:cs="Arial" w:eastAsia="Arial" w:hAnsi="Arial"/>
        </w:rPr>
        <w:t xml:space="preserve">1. Purpose of This Document</w:t>
      </w:r>
    </w:p>
    <w:p>
      <w:pPr>
        <w:spacing w:after="120" w:before="0" w:line="276"/>
      </w:pPr>
      <w:r>
        <w:rPr>
          <w:rFonts w:ascii="Arial" w:cs="Arial" w:eastAsia="Arial" w:hAnsi="Arial"/>
          <w:sz w:val="22"/>
          <w:szCs w:val="22"/>
        </w:rPr>
        <w:t xml:space="preserve">This document summarizes the Association's concerns about the 2025 roof replacement and masonry repairs, incorporates the independent findings of Hutchinson Design Group (HDG), and reviews the change order Ready Home, Inc. has asked the Board to accept. It compares what the contract specified against what was delivered, sets out the resulting damage and HDG's conclusions on cause, identifies where the process broke down, and explains why the Board has not signed or paid the change order. It is intended for the Board, HDG, and the Association's counsel.</w:t>
      </w:r>
    </w:p>
    <w:p>
      <w:pPr>
        <w:spacing w:after="120" w:before="0" w:line="276"/>
      </w:pPr>
      <w:r>
        <w:rPr>
          <w:rFonts w:ascii="Arial" w:cs="Arial" w:eastAsia="Arial" w:hAnsi="Arial"/>
          <w:i/>
          <w:iCs/>
          <w:color w:val="595959"/>
          <w:sz w:val="20"/>
          <w:szCs w:val="20"/>
        </w:rPr>
        <w:t xml:space="preserve">This document states the Association's position based on the project record and HDG's report. Technical conclusions are HDG's; legal, insurance, and payment determinations are for counsel. It is not legal advice.</w:t>
      </w:r>
    </w:p>
    <w:p>
      <w:pPr>
        <w:pStyle w:val="Heading1"/>
        <w:spacing w:after="130" w:before="300"/>
      </w:pPr>
      <w:r>
        <w:rPr>
          <w:rFonts w:ascii="Arial" w:cs="Arial" w:eastAsia="Arial" w:hAnsi="Arial"/>
        </w:rPr>
        <w:t xml:space="preserve">2. Background</w:t>
      </w:r>
    </w:p>
    <w:p>
      <w:pPr>
        <w:spacing w:after="120" w:before="0" w:line="276"/>
      </w:pPr>
      <w:r>
        <w:rPr>
          <w:rFonts w:ascii="Arial" w:cs="Arial" w:eastAsia="Arial" w:hAnsi="Arial"/>
          <w:sz w:val="22"/>
          <w:szCs w:val="22"/>
        </w:rPr>
        <w:t xml:space="preserve">The Association is a single six-story building (built circa 2000–2001) with an occupied rooftop paver deck on pedestals over essentially the entire roof. Because there was no insulation above the concrete deck, interior water vapor condensed on the structural steel, causing wet spots, paint blisters, and leaking on the sixth floor; the perimeter masonry also experienced moisture intrusion. To remediate these conditions, the Board engaged Kipcon Great Lakes LLC to specify and administer the work, and Ready Home, Inc. performed the roof replacement (roof and deck: $374,123) and masonry repairs ($94,000).</w:t>
      </w:r>
    </w:p>
    <w:p>
      <w:pPr>
        <w:spacing w:after="120" w:before="0" w:line="276"/>
      </w:pPr>
      <w:r>
        <w:rPr>
          <w:rFonts w:ascii="Arial" w:cs="Arial" w:eastAsia="Arial" w:hAnsi="Arial"/>
          <w:sz w:val="22"/>
          <w:szCs w:val="22"/>
        </w:rPr>
        <w:t xml:space="preserve">Roughly three months after completion, a roof drain backed up and the trapped water froze and split the new membrane seams on the east side. An independent moisture scan (Skyline, April 2026) found elevated moisture across most of the roof. The Board then retained HDG, an independent building-envelope consultant, who inspected the roof on June 3, 2026 and issued the report summarized below.</w:t>
      </w:r>
    </w:p>
    <w:p>
      <w:pPr>
        <w:pStyle w:val="Heading1"/>
        <w:spacing w:after="130" w:before="300"/>
      </w:pPr>
      <w:r>
        <w:rPr>
          <w:rFonts w:ascii="Arial" w:cs="Arial" w:eastAsia="Arial" w:hAnsi="Arial"/>
        </w:rPr>
        <w:t xml:space="preserve">3. Independent Expert Findings — Hutchinson Design Group (June 18, 2026)</w:t>
      </w:r>
    </w:p>
    <w:p>
      <w:pPr>
        <w:spacing w:after="120" w:before="0" w:line="276"/>
      </w:pPr>
      <w:r>
        <w:rPr>
          <w:rFonts w:ascii="Arial" w:cs="Arial" w:eastAsia="Arial" w:hAnsi="Arial"/>
          <w:sz w:val="22"/>
          <w:szCs w:val="22"/>
        </w:rPr>
        <w:t xml:space="preserve">HDG inspected the roof and masonry, reviewed the bid documents, contract, and photographs, and rendered the following opinions “with a high degree of architectural certainty.” Importantly, HDG attributes the project's failure to both the contractor's execution and the engineer's (Kipcon's) design and administration.</w:t>
      </w:r>
    </w:p>
    <w:p>
      <w:pPr>
        <w:pStyle w:val="Heading2"/>
        <w:spacing w:after="90" w:before="200"/>
      </w:pPr>
      <w:r>
        <w:rPr>
          <w:rFonts w:ascii="Arial" w:cs="Arial" w:eastAsia="Arial" w:hAnsi="Arial"/>
        </w:rPr>
        <w:t xml:space="preserve">3.1  HDG's overall conclusion</w:t>
      </w:r>
    </w:p>
    <w:p>
      <w:pPr>
        <w:spacing w:after="120" w:before="0" w:line="276"/>
      </w:pPr>
      <w:r>
        <w:rPr>
          <w:rFonts w:ascii="Arial" w:cs="Arial" w:eastAsia="Arial" w:hAnsi="Arial"/>
          <w:sz w:val="22"/>
          <w:szCs w:val="22"/>
        </w:rPr>
        <w:t xml:space="preserve">HDG concludes that “the failure of this roof system and masonry restoration project started in design and bidding,” and that while the roof design was poor, it was “exacerbated by poor execution of the installation.” HDG states the roof was “not per the manufacturer's recommendations and does not meet code,” and that the new roof system contains moisture, which “indicates a failure.”</w:t>
      </w:r>
    </w:p>
    <w:p>
      <w:pPr>
        <w:pStyle w:val="Heading2"/>
        <w:spacing w:after="90" w:before="200"/>
      </w:pPr>
      <w:r>
        <w:rPr>
          <w:rFonts w:ascii="Arial" w:cs="Arial" w:eastAsia="Arial" w:hAnsi="Arial"/>
        </w:rPr>
        <w:t xml:space="preserve">3.2  Findings on the contractor's installation (Ready Home)</w:t>
      </w:r>
    </w:p>
    <w:p>
      <w:pPr>
        <w:pStyle w:val="ListParagraph"/>
        <w:numPr>
          <w:ilvl w:val="0"/>
          <w:numId w:val="2"/>
        </w:numPr>
        <w:spacing w:after="80" w:line="276"/>
      </w:pPr>
      <w:r>
        <w:rPr>
          <w:rFonts w:ascii="Arial" w:cs="Arial" w:eastAsia="Arial" w:hAnsi="Arial"/>
          <w:sz w:val="22"/>
          <w:szCs w:val="22"/>
        </w:rPr>
        <w:t xml:space="preserve">The original roof was not removed as required; water was found beneath it. The contractor did not notify the owner or obtain approval before proceeding.</w:t>
      </w:r>
    </w:p>
    <w:p>
      <w:pPr>
        <w:pStyle w:val="ListParagraph"/>
        <w:numPr>
          <w:ilvl w:val="0"/>
          <w:numId w:val="2"/>
        </w:numPr>
        <w:spacing w:after="80" w:line="276"/>
      </w:pPr>
      <w:r>
        <w:rPr>
          <w:rFonts w:ascii="Arial" w:cs="Arial" w:eastAsia="Arial" w:hAnsi="Arial"/>
          <w:sz w:val="22"/>
          <w:szCs w:val="22"/>
        </w:rPr>
        <w:t xml:space="preserve">Only one layer of insulation was installed where two were required — again without owner notification or approval.</w:t>
      </w:r>
    </w:p>
    <w:p>
      <w:pPr>
        <w:pStyle w:val="ListParagraph"/>
        <w:numPr>
          <w:ilvl w:val="0"/>
          <w:numId w:val="2"/>
        </w:numPr>
        <w:spacing w:after="80" w:line="276"/>
      </w:pPr>
      <w:r>
        <w:rPr>
          <w:rFonts w:ascii="Arial" w:cs="Arial" w:eastAsia="Arial" w:hAnsi="Arial"/>
          <w:sz w:val="22"/>
          <w:szCs w:val="22"/>
        </w:rPr>
        <w:t xml:space="preserve">The membrane was a single ply; counterflashing and cant strips were not installed.</w:t>
      </w:r>
    </w:p>
    <w:p>
      <w:pPr>
        <w:pStyle w:val="ListParagraph"/>
        <w:numPr>
          <w:ilvl w:val="0"/>
          <w:numId w:val="2"/>
        </w:numPr>
        <w:spacing w:after="80" w:line="276"/>
      </w:pPr>
      <w:r>
        <w:rPr>
          <w:rFonts w:ascii="Arial" w:cs="Arial" w:eastAsia="Arial" w:hAnsi="Arial"/>
          <w:sz w:val="22"/>
          <w:szCs w:val="22"/>
        </w:rPr>
        <w:t xml:space="preserve">Roof drains were not properly replaced or flashed; a drain clamping ring was found without bolts, providing no compression to keep water from migrating under the membrane.</w:t>
      </w:r>
    </w:p>
    <w:p>
      <w:pPr>
        <w:pStyle w:val="ListParagraph"/>
        <w:numPr>
          <w:ilvl w:val="0"/>
          <w:numId w:val="2"/>
        </w:numPr>
        <w:spacing w:after="80" w:line="276"/>
      </w:pPr>
      <w:r>
        <w:rPr>
          <w:rFonts w:ascii="Arial" w:cs="Arial" w:eastAsia="Arial" w:hAnsi="Arial"/>
          <w:sz w:val="22"/>
          <w:szCs w:val="22"/>
        </w:rPr>
        <w:t xml:space="preserve">Base flashings are debonding and terminations are not appropriate at door sills, masonry walls, and penthouses; copings were reused (bent, bowing, too small).</w:t>
      </w:r>
    </w:p>
    <w:p>
      <w:pPr>
        <w:pStyle w:val="ListParagraph"/>
        <w:numPr>
          <w:ilvl w:val="0"/>
          <w:numId w:val="2"/>
        </w:numPr>
        <w:spacing w:after="80" w:line="276"/>
      </w:pPr>
      <w:r>
        <w:rPr>
          <w:rFonts w:ascii="Arial" w:cs="Arial" w:eastAsia="Arial" w:hAnsi="Arial"/>
          <w:sz w:val="22"/>
          <w:szCs w:val="22"/>
        </w:rPr>
        <w:t xml:space="preserve">Open lap seams were found (recently patched by the contractor); pourable sealer pockets were improperly prepared.</w:t>
      </w:r>
    </w:p>
    <w:p>
      <w:pPr>
        <w:pStyle w:val="ListParagraph"/>
        <w:numPr>
          <w:ilvl w:val="0"/>
          <w:numId w:val="2"/>
        </w:numPr>
        <w:spacing w:after="80" w:line="276"/>
      </w:pPr>
      <w:r>
        <w:rPr>
          <w:rFonts w:ascii="Arial" w:cs="Arial" w:eastAsia="Arial" w:hAnsi="Arial"/>
          <w:sz w:val="22"/>
          <w:szCs w:val="22"/>
        </w:rPr>
        <w:t xml:space="preserve">Test cuts on the west side of the main roof found wet insulation; HDG states the new roof is allowing water intrusion.</w:t>
      </w:r>
    </w:p>
    <w:p>
      <w:pPr>
        <w:pStyle w:val="ListParagraph"/>
        <w:numPr>
          <w:ilvl w:val="0"/>
          <w:numId w:val="2"/>
        </w:numPr>
        <w:spacing w:after="80" w:line="276"/>
      </w:pPr>
      <w:r>
        <w:rPr>
          <w:rFonts w:ascii="Arial" w:cs="Arial" w:eastAsia="Arial" w:hAnsi="Arial"/>
          <w:sz w:val="22"/>
          <w:szCs w:val="22"/>
        </w:rPr>
        <w:t xml:space="preserve">On the east side, had the membrane been properly installed at the drain, the drain backup would not have caused water intrusion — tying the damage to workmanship.</w:t>
      </w:r>
    </w:p>
    <w:p>
      <w:pPr>
        <w:pStyle w:val="Heading2"/>
        <w:spacing w:after="90" w:before="200"/>
      </w:pPr>
      <w:r>
        <w:rPr>
          <w:rFonts w:ascii="Arial" w:cs="Arial" w:eastAsia="Arial" w:hAnsi="Arial"/>
        </w:rPr>
        <w:t xml:space="preserve">3.3  Findings on the engineer's design and administration (Kipcon)</w:t>
      </w:r>
    </w:p>
    <w:p>
      <w:pPr>
        <w:spacing w:after="120" w:before="0" w:line="276"/>
      </w:pPr>
      <w:r>
        <w:rPr>
          <w:rFonts w:ascii="Arial" w:cs="Arial" w:eastAsia="Arial" w:hAnsi="Arial"/>
          <w:b w:val="false"/>
          <w:bCs w:val="false"/>
          <w:sz w:val="22"/>
          <w:szCs w:val="22"/>
        </w:rPr>
        <w:t xml:space="preserve">HDG opines that the engineer “did not meet the standard of care” in defining the work and did not observe construction appropriately. Specifically:</w:t>
      </w:r>
    </w:p>
    <w:p>
      <w:pPr>
        <w:pStyle w:val="ListParagraph"/>
        <w:numPr>
          <w:ilvl w:val="0"/>
          <w:numId w:val="2"/>
        </w:numPr>
        <w:spacing w:after="80" w:line="276"/>
      </w:pPr>
      <w:r>
        <w:rPr>
          <w:rFonts w:ascii="Arial" w:cs="Arial" w:eastAsia="Arial" w:hAnsi="Arial"/>
          <w:sz w:val="22"/>
          <w:szCs w:val="22"/>
        </w:rPr>
        <w:t xml:space="preserve">No book specification, no drawings, details, or elevations were produced for a roof of this complexity.</w:t>
      </w:r>
    </w:p>
    <w:p>
      <w:pPr>
        <w:pStyle w:val="ListParagraph"/>
        <w:numPr>
          <w:ilvl w:val="0"/>
          <w:numId w:val="2"/>
        </w:numPr>
        <w:spacing w:after="80" w:line="276"/>
      </w:pPr>
      <w:r>
        <w:rPr>
          <w:rFonts w:ascii="Arial" w:cs="Arial" w:eastAsia="Arial" w:hAnsi="Arial"/>
          <w:sz w:val="22"/>
          <w:szCs w:val="22"/>
        </w:rPr>
        <w:t xml:space="preserve">No test cut or core was ever taken by the engineer, which would have revealed the wet, un-removed existing roof and the need to scarify the deck.</w:t>
      </w:r>
    </w:p>
    <w:p>
      <w:pPr>
        <w:pStyle w:val="ListParagraph"/>
        <w:numPr>
          <w:ilvl w:val="0"/>
          <w:numId w:val="2"/>
        </w:numPr>
        <w:spacing w:after="80" w:line="276"/>
      </w:pPr>
      <w:r>
        <w:rPr>
          <w:rFonts w:ascii="Arial" w:cs="Arial" w:eastAsia="Arial" w:hAnsi="Arial"/>
          <w:sz w:val="22"/>
          <w:szCs w:val="22"/>
        </w:rPr>
        <w:t xml:space="preserve">The contract specifications differed substantially from the bid specifications, and the project was not rebid and no addenda were issued.</w:t>
      </w:r>
    </w:p>
    <w:p>
      <w:pPr>
        <w:pStyle w:val="ListParagraph"/>
        <w:numPr>
          <w:ilvl w:val="0"/>
          <w:numId w:val="2"/>
        </w:numPr>
        <w:spacing w:after="80" w:line="276"/>
      </w:pPr>
      <w:r>
        <w:rPr>
          <w:rFonts w:ascii="Arial" w:cs="Arial" w:eastAsia="Arial" w:hAnsi="Arial"/>
          <w:sz w:val="22"/>
          <w:szCs w:val="22"/>
        </w:rPr>
        <w:t xml:space="preserve">No shop drawings were requested or submitted; no regular on-site inspections were performed; no written site reports were produced.</w:t>
      </w:r>
    </w:p>
    <w:p>
      <w:pPr>
        <w:pStyle w:val="ListParagraph"/>
        <w:numPr>
          <w:ilvl w:val="0"/>
          <w:numId w:val="2"/>
        </w:numPr>
        <w:spacing w:after="80" w:line="276"/>
      </w:pPr>
      <w:r>
        <w:rPr>
          <w:rFonts w:ascii="Arial" w:cs="Arial" w:eastAsia="Arial" w:hAnsi="Arial"/>
          <w:sz w:val="22"/>
          <w:szCs w:val="22"/>
        </w:rPr>
        <w:t xml:space="preserve">No interim or final punch lists were produced — and no written report from the required inspection was ever produced.</w:t>
      </w:r>
    </w:p>
    <w:p>
      <w:pPr>
        <w:spacing w:after="120" w:before="0" w:line="276"/>
      </w:pPr>
      <w:r>
        <w:rPr>
          <w:rFonts w:ascii="Arial" w:cs="Arial" w:eastAsia="Arial" w:hAnsi="Arial"/>
          <w:b/>
          <w:bCs/>
          <w:color w:val="1F3864"/>
          <w:sz w:val="22"/>
          <w:szCs w:val="22"/>
        </w:rPr>
        <w:t xml:space="preserve">Why this matters: </w:t>
      </w:r>
      <w:r>
        <w:rPr>
          <w:rFonts w:ascii="Arial" w:cs="Arial" w:eastAsia="Arial" w:hAnsi="Arial"/>
          <w:sz w:val="22"/>
          <w:szCs w:val="22"/>
        </w:rPr>
        <w:t xml:space="preserve">“standard of care” is the language of professional negligence, which is the territory of a design firm's errors-and-omissions insurance. HDG's report therefore supports potential claims against two parties — the contractor and the engineer — each of whom should carry insurance.</w:t>
      </w:r>
    </w:p>
    <w:p>
      <w:pPr>
        <w:pStyle w:val="Heading1"/>
        <w:spacing w:after="130" w:before="300"/>
      </w:pPr>
      <w:r>
        <w:rPr>
          <w:rFonts w:ascii="Arial" w:cs="Arial" w:eastAsia="Arial" w:hAnsi="Arial"/>
        </w:rPr>
        <w:t xml:space="preserve">4. What the Contract Specified vs. What Was Delivered</w:t>
      </w:r>
    </w:p>
    <w:p>
      <w:pPr>
        <w:spacing w:after="120" w:before="0" w:line="276"/>
      </w:pPr>
      <w:r>
        <w:rPr>
          <w:rFonts w:ascii="Arial" w:cs="Arial" w:eastAsia="Arial" w:hAnsi="Arial"/>
          <w:sz w:val="22"/>
          <w:szCs w:val="22"/>
        </w:rPr>
        <w:t xml:space="preserve">The following compares the executed specifications (and permit) against what the record and HDG's inspection show was delivered. Items in the right column reflect findings now independently confirmed by HDG.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50"/>
        <w:gridCol w:w="3650"/>
        <w:gridCol w:w="3660"/>
      </w:tblGrid>
      <w:tr>
        <w:trPr>
          <w:tblHeader/>
        </w:trPr>
        <w:tc>
          <w:tcPr>
            <w:tcW w:type="dxa" w:w="2050"/>
            <w:tcBorders>
              <w:top w:val="single" w:color="BBBBBB" w:sz="1"/>
              <w:left w:val="single" w:color="BBBBBB" w:sz="1"/>
              <w:bottom w:val="single" w:color="BBBBBB" w:sz="1"/>
              <w:right w:val="single" w:color="BBBBBB" w:sz="1"/>
            </w:tcBorders>
            <w:shd w:fill="1F3864" w:val="clear"/>
            <w:tcMar>
              <w:top w:type="dxa" w:w="70"/>
              <w:left w:type="dxa" w:w="110"/>
              <w:bottom w:type="dxa" w:w="70"/>
              <w:right w:type="dxa" w:w="110"/>
            </w:tcMar>
            <w:vAlign w:val="top"/>
          </w:tcPr>
          <w:p>
            <w:pPr>
              <w:spacing w:line="264"/>
            </w:pPr>
            <w:r>
              <w:rPr>
                <w:rFonts w:ascii="Arial" w:cs="Arial" w:eastAsia="Arial" w:hAnsi="Arial"/>
                <w:b/>
                <w:bCs/>
                <w:color w:val="FFFFFF"/>
                <w:sz w:val="19"/>
                <w:szCs w:val="19"/>
              </w:rPr>
              <w:t xml:space="preserve">Item</w:t>
            </w:r>
          </w:p>
        </w:tc>
        <w:tc>
          <w:tcPr>
            <w:tcW w:type="dxa" w:w="3650"/>
            <w:tcBorders>
              <w:top w:val="single" w:color="BBBBBB" w:sz="1"/>
              <w:left w:val="single" w:color="BBBBBB" w:sz="1"/>
              <w:bottom w:val="single" w:color="BBBBBB" w:sz="1"/>
              <w:right w:val="single" w:color="BBBBBB" w:sz="1"/>
            </w:tcBorders>
            <w:shd w:fill="1F3864" w:val="clear"/>
            <w:tcMar>
              <w:top w:type="dxa" w:w="70"/>
              <w:left w:type="dxa" w:w="110"/>
              <w:bottom w:type="dxa" w:w="70"/>
              <w:right w:type="dxa" w:w="110"/>
            </w:tcMar>
            <w:vAlign w:val="top"/>
          </w:tcPr>
          <w:p>
            <w:pPr>
              <w:spacing w:line="264"/>
            </w:pPr>
            <w:r>
              <w:rPr>
                <w:rFonts w:ascii="Arial" w:cs="Arial" w:eastAsia="Arial" w:hAnsi="Arial"/>
                <w:b/>
                <w:bCs/>
                <w:color w:val="FFFFFF"/>
                <w:sz w:val="19"/>
                <w:szCs w:val="19"/>
              </w:rPr>
              <w:t xml:space="preserve">What the contract / permit specified</w:t>
            </w:r>
          </w:p>
        </w:tc>
        <w:tc>
          <w:tcPr>
            <w:tcW w:type="dxa" w:w="3660"/>
            <w:tcBorders>
              <w:top w:val="single" w:color="BBBBBB" w:sz="1"/>
              <w:left w:val="single" w:color="BBBBBB" w:sz="1"/>
              <w:bottom w:val="single" w:color="BBBBBB" w:sz="1"/>
              <w:right w:val="single" w:color="BBBBBB" w:sz="1"/>
            </w:tcBorders>
            <w:shd w:fill="1F3864" w:val="clear"/>
            <w:tcMar>
              <w:top w:type="dxa" w:w="70"/>
              <w:left w:type="dxa" w:w="110"/>
              <w:bottom w:type="dxa" w:w="70"/>
              <w:right w:type="dxa" w:w="110"/>
            </w:tcMar>
            <w:vAlign w:val="top"/>
          </w:tcPr>
          <w:p>
            <w:pPr>
              <w:spacing w:line="264"/>
            </w:pPr>
            <w:r>
              <w:rPr>
                <w:rFonts w:ascii="Arial" w:cs="Arial" w:eastAsia="Arial" w:hAnsi="Arial"/>
                <w:b/>
                <w:bCs/>
                <w:color w:val="FFFFFF"/>
                <w:sz w:val="19"/>
                <w:szCs w:val="19"/>
              </w:rPr>
              <w:t xml:space="preserve">What was delivered (confirmed by HDG)</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Tear-off</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Remove all existing membrane and insulation down to the concrete deck; inspect the deck.</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Original roof left in place; water found beneath it; deck never exposed or inspected. No owner notification.</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Insulation</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Two (2) layers, mechanically fastened to the deck.</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Only one layer installed. No deduct change order or owner approval.</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Membrane plies</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Two-ply system in the preliminary bid; reduced to one ply in the contract spec.</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Single ply installed; unclear whether the two-ply cost was credited.</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Vapor retarder</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Required in the preliminary bid; deleted in the revised contract spec.</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Not installed; unclear whether its cost was removed from the price.</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Cant strips / counterflashing</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Cant strips at walls/curbs; compression counterflashing at all flashed conditions.</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Cant strips and counterflashing not installed; base flashings debonding and improperly terminated.</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Drains</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Replace all existing roof drains (requires interior access).</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Not properly replaced or flashed; clamping ring found without bolts; only failed east drains swapped after leaking.</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Drainage assessment / coring</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Post-tear-off drainage assessment and core sampling.</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No drainage assessment report provided; engineer took no core.</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Permit scope</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City permit: tear off existing roof and install new.</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Re-cover over retained layers — does not match the permitted tear-off.</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Masonry — through-wall flashing</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Lift copings and balustrades; install new through-wall flashing.</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Copings, decorative columns, and balustrades not lifted; through-wall flashing not installed; no credit.</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Masonry — lintels</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Remove and replace sixth-floor window lintels.</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Not performed; no credit.</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Masonry — tuckpointing</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Pointing as specified.</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Only spot-pointed; HDG found 100% pointing was needed; no water repellent specified.</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Railings</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New metal railings.</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Railings not the correct length; wood infills used to bridge gaps.</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Change orders / approvals</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All deviations require the owner's written authorization (a written amendment).</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No written change orders for any deviation — expressly contrary to the contract.</w:t>
            </w:r>
          </w:p>
        </w:tc>
      </w:tr>
      <w:tr>
        <w:tc>
          <w:tcPr>
            <w:tcW w:type="dxa" w:w="205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Engineer documentation</w:t>
            </w:r>
          </w:p>
        </w:tc>
        <w:tc>
          <w:tcPr>
            <w:tcW w:type="dxa" w:w="36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Written report, interim &amp; final punch lists, site reports, shop-drawing review.</w:t>
            </w:r>
          </w:p>
        </w:tc>
        <w:tc>
          <w:tcPr>
            <w:tcW w:type="dxa" w:w="36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None produced; no regular site inspections; “did not meet the standard of care.”</w:t>
            </w:r>
          </w:p>
        </w:tc>
      </w:tr>
    </w:tbl>
    <w:p>
      <w:pPr>
        <w:pStyle w:val="Heading1"/>
        <w:spacing w:after="130" w:before="300"/>
      </w:pPr>
      <w:r>
        <w:rPr>
          <w:rFonts w:ascii="Arial" w:cs="Arial" w:eastAsia="Arial" w:hAnsi="Arial"/>
        </w:rPr>
        <w:t xml:space="preserve">5. The Damage and Its Cause</w:t>
      </w:r>
    </w:p>
    <w:p>
      <w:pPr>
        <w:spacing w:after="120" w:before="0" w:line="276"/>
      </w:pPr>
      <w:r>
        <w:rPr>
          <w:rFonts w:ascii="Arial" w:cs="Arial" w:eastAsia="Arial" w:hAnsi="Arial"/>
          <w:sz w:val="22"/>
          <w:szCs w:val="22"/>
        </w:rPr>
        <w:t xml:space="preserve">Per Kipcon, a 2-inch drain line backed up, froze, and split the new membrane seams. HDG goes further and ties the damage to workmanship: had the membrane been properly installed at the drain, the backup would not have caused water intrusion. HDG also found wet insulation in west-side core cuts and concludes the new roof is allowing water intrusion — i.e., the roof is failing, not merely damaged at one spot.</w:t>
      </w:r>
    </w:p>
    <w:p>
      <w:pPr>
        <w:spacing w:after="120" w:before="0" w:line="276"/>
      </w:pPr>
      <w:r>
        <w:rPr>
          <w:rFonts w:ascii="Arial" w:cs="Arial" w:eastAsia="Arial" w:hAnsi="Arial"/>
          <w:b/>
          <w:bCs/>
          <w:color w:val="1F3864"/>
          <w:sz w:val="22"/>
          <w:szCs w:val="22"/>
        </w:rPr>
        <w:t xml:space="preserve">The central concern: </w:t>
      </w:r>
      <w:r>
        <w:rPr>
          <w:rFonts w:ascii="Arial" w:cs="Arial" w:eastAsia="Arial" w:hAnsi="Arial"/>
          <w:sz w:val="22"/>
          <w:szCs w:val="22"/>
        </w:rPr>
        <w:t xml:space="preserve">the change order asks the Association to pay to repair damage that HDG attributes to defective installation. If the cause was defective work, this is correction of a defect — not an “extra” the Association should fund.</w:t>
      </w:r>
    </w:p>
    <w:p>
      <w:pPr>
        <w:pStyle w:val="Heading1"/>
        <w:spacing w:after="130" w:before="300"/>
      </w:pPr>
      <w:r>
        <w:rPr>
          <w:rFonts w:ascii="Arial" w:cs="Arial" w:eastAsia="Arial" w:hAnsi="Arial"/>
        </w:rPr>
        <w:t xml:space="preserve">6. Where the Process Broke Down</w:t>
      </w:r>
    </w:p>
    <w:p>
      <w:pPr>
        <w:pStyle w:val="Heading2"/>
        <w:spacing w:after="90" w:before="200"/>
      </w:pPr>
      <w:r>
        <w:rPr>
          <w:rFonts w:ascii="Arial" w:cs="Arial" w:eastAsia="Arial" w:hAnsi="Arial"/>
        </w:rPr>
        <w:t xml:space="preserve">6.1  No drainage assessment reports</w:t>
      </w:r>
    </w:p>
    <w:p>
      <w:pPr>
        <w:spacing w:after="120" w:before="0" w:line="276"/>
      </w:pPr>
      <w:r>
        <w:rPr>
          <w:rFonts w:ascii="Arial" w:cs="Arial" w:eastAsia="Arial" w:hAnsi="Arial"/>
          <w:sz w:val="22"/>
          <w:szCs w:val="22"/>
        </w:rPr>
        <w:t xml:space="preserve">A post-tear-off drainage assessment and coring were part of the work. The Association never received any drainage assessment report, even though a drain backup is what caused the damage. HDG confirms the engineer never took a core.</w:t>
      </w:r>
    </w:p>
    <w:p>
      <w:pPr>
        <w:pStyle w:val="Heading2"/>
        <w:spacing w:after="90" w:before="200"/>
      </w:pPr>
      <w:r>
        <w:rPr>
          <w:rFonts w:ascii="Arial" w:cs="Arial" w:eastAsia="Arial" w:hAnsi="Arial"/>
        </w:rPr>
        <w:t xml:space="preserve">6.2  No change orders — for the entire project</w:t>
      </w:r>
    </w:p>
    <w:p>
      <w:pPr>
        <w:spacing w:after="120" w:before="0" w:line="276"/>
      </w:pPr>
      <w:r>
        <w:rPr>
          <w:rFonts w:ascii="Arial" w:cs="Arial" w:eastAsia="Arial" w:hAnsi="Arial"/>
          <w:sz w:val="22"/>
          <w:szCs w:val="22"/>
        </w:rPr>
        <w:t xml:space="preserve">The contract is explicit: “No deviation from the specifications shall be allowed without the written authorization of the owner as evidenced by a written amendment to this agreement.” Despite this, not one written change order was issued. Major departures — leaving the existing roof, installing half the insulation, omitting counterflashing and cant strips, not replacing drains, and the masonry through-wall flashing — were made without the written owner approvals the contract required.</w:t>
      </w:r>
    </w:p>
    <w:p>
      <w:pPr>
        <w:pStyle w:val="Heading2"/>
        <w:spacing w:after="90" w:before="200"/>
      </w:pPr>
      <w:r>
        <w:rPr>
          <w:rFonts w:ascii="Arial" w:cs="Arial" w:eastAsia="Arial" w:hAnsi="Arial"/>
        </w:rPr>
        <w:t xml:space="preserve">6.3  No engineer reports, inspections, or punch lists</w:t>
      </w:r>
    </w:p>
    <w:p>
      <w:pPr>
        <w:spacing w:after="120" w:before="0" w:line="276"/>
      </w:pPr>
      <w:r>
        <w:rPr>
          <w:rFonts w:ascii="Arial" w:cs="Arial" w:eastAsia="Arial" w:hAnsi="Arial"/>
          <w:sz w:val="22"/>
          <w:szCs w:val="22"/>
        </w:rPr>
        <w:t xml:space="preserve">HDG found no written inspection report, no interim or final punch list, no regular on-site observation, and no shop-drawing review. The Board, which is not construction-knowledgeable, relied on Kipcon for exactly these services and did not receive them.</w:t>
      </w:r>
    </w:p>
    <w:p>
      <w:pPr>
        <w:pStyle w:val="Heading2"/>
        <w:spacing w:after="90" w:before="200"/>
      </w:pPr>
      <w:r>
        <w:rPr>
          <w:rFonts w:ascii="Arial" w:cs="Arial" w:eastAsia="Arial" w:hAnsi="Arial"/>
        </w:rPr>
        <w:t xml:space="preserve">6.4  Permit does not match the work; warranty unconfirmed</w:t>
      </w:r>
    </w:p>
    <w:p>
      <w:pPr>
        <w:spacing w:after="120" w:before="0" w:line="276"/>
      </w:pPr>
      <w:r>
        <w:rPr>
          <w:rFonts w:ascii="Arial" w:cs="Arial" w:eastAsia="Arial" w:hAnsi="Arial"/>
          <w:sz w:val="22"/>
          <w:szCs w:val="22"/>
        </w:rPr>
        <w:t xml:space="preserve">The City permit describes a tear-off; the work was a re-cover. And the only manufacturer guarantee on record is an expired 2011 GAF guarantee; there is no confirmation of a valid GAF warranty on the new assembly — consistent with HDG's finding that the roof does not meet manufacturer requirements.</w:t>
      </w:r>
    </w:p>
    <w:p>
      <w:pPr>
        <w:pStyle w:val="Heading1"/>
        <w:spacing w:after="130" w:before="300"/>
      </w:pPr>
      <w:r>
        <w:rPr>
          <w:rFonts w:ascii="Arial" w:cs="Arial" w:eastAsia="Arial" w:hAnsi="Arial"/>
        </w:rPr>
        <w:t xml:space="preserve">7. The Proposed Change Order (What Ready Home Is Asking For)</w:t>
      </w:r>
    </w:p>
    <w:p>
      <w:pPr>
        <w:spacing w:after="120" w:before="0" w:line="276"/>
      </w:pPr>
      <w:r>
        <w:rPr>
          <w:rFonts w:ascii="Arial" w:cs="Arial" w:eastAsia="Arial" w:hAnsi="Arial"/>
          <w:sz w:val="22"/>
          <w:szCs w:val="22"/>
        </w:rPr>
        <w:t xml:space="preserve">The change order is unsigned. Under the contract, it is a proposal, not a bill — the Association owes nothing on it unless and until the Board approves it in writing. It asks the Association to take on the following: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50"/>
        <w:gridCol w:w="1700"/>
        <w:gridCol w:w="4110"/>
      </w:tblGrid>
      <w:tr>
        <w:trPr>
          <w:tblHeader/>
        </w:trPr>
        <w:tc>
          <w:tcPr>
            <w:tcW w:type="dxa" w:w="3550"/>
            <w:tcBorders>
              <w:top w:val="single" w:color="BBBBBB" w:sz="1"/>
              <w:left w:val="single" w:color="BBBBBB" w:sz="1"/>
              <w:bottom w:val="single" w:color="BBBBBB" w:sz="1"/>
              <w:right w:val="single" w:color="BBBBBB" w:sz="1"/>
            </w:tcBorders>
            <w:shd w:fill="1F3864" w:val="clear"/>
            <w:tcMar>
              <w:top w:type="dxa" w:w="70"/>
              <w:left w:type="dxa" w:w="110"/>
              <w:bottom w:type="dxa" w:w="70"/>
              <w:right w:type="dxa" w:w="110"/>
            </w:tcMar>
            <w:vAlign w:val="top"/>
          </w:tcPr>
          <w:p>
            <w:pPr>
              <w:spacing w:line="264"/>
            </w:pPr>
            <w:r>
              <w:rPr>
                <w:rFonts w:ascii="Arial" w:cs="Arial" w:eastAsia="Arial" w:hAnsi="Arial"/>
                <w:b/>
                <w:bCs/>
                <w:color w:val="FFFFFF"/>
                <w:sz w:val="19"/>
                <w:szCs w:val="19"/>
              </w:rPr>
              <w:t xml:space="preserve">Item</w:t>
            </w:r>
          </w:p>
        </w:tc>
        <w:tc>
          <w:tcPr>
            <w:tcW w:type="dxa" w:w="1700"/>
            <w:tcBorders>
              <w:top w:val="single" w:color="BBBBBB" w:sz="1"/>
              <w:left w:val="single" w:color="BBBBBB" w:sz="1"/>
              <w:bottom w:val="single" w:color="BBBBBB" w:sz="1"/>
              <w:right w:val="single" w:color="BBBBBB" w:sz="1"/>
            </w:tcBorders>
            <w:shd w:fill="1F3864" w:val="clear"/>
            <w:tcMar>
              <w:top w:type="dxa" w:w="70"/>
              <w:left w:type="dxa" w:w="110"/>
              <w:bottom w:type="dxa" w:w="70"/>
              <w:right w:type="dxa" w:w="110"/>
            </w:tcMar>
            <w:vAlign w:val="top"/>
          </w:tcPr>
          <w:p>
            <w:pPr>
              <w:spacing w:line="264"/>
              <w:jc w:val="right"/>
            </w:pPr>
            <w:r>
              <w:rPr>
                <w:rFonts w:ascii="Arial" w:cs="Arial" w:eastAsia="Arial" w:hAnsi="Arial"/>
                <w:b/>
                <w:bCs/>
                <w:color w:val="FFFFFF"/>
                <w:sz w:val="19"/>
                <w:szCs w:val="19"/>
              </w:rPr>
              <w:t xml:space="preserve">Amount</w:t>
            </w:r>
          </w:p>
        </w:tc>
        <w:tc>
          <w:tcPr>
            <w:tcW w:type="dxa" w:w="4110"/>
            <w:tcBorders>
              <w:top w:val="single" w:color="BBBBBB" w:sz="1"/>
              <w:left w:val="single" w:color="BBBBBB" w:sz="1"/>
              <w:bottom w:val="single" w:color="BBBBBB" w:sz="1"/>
              <w:right w:val="single" w:color="BBBBBB" w:sz="1"/>
            </w:tcBorders>
            <w:shd w:fill="1F3864" w:val="clear"/>
            <w:tcMar>
              <w:top w:type="dxa" w:w="70"/>
              <w:left w:type="dxa" w:w="110"/>
              <w:bottom w:type="dxa" w:w="70"/>
              <w:right w:type="dxa" w:w="110"/>
            </w:tcMar>
            <w:vAlign w:val="top"/>
          </w:tcPr>
          <w:p>
            <w:pPr>
              <w:spacing w:line="264"/>
            </w:pPr>
            <w:r>
              <w:rPr>
                <w:rFonts w:ascii="Arial" w:cs="Arial" w:eastAsia="Arial" w:hAnsi="Arial"/>
                <w:b/>
                <w:bCs/>
                <w:color w:val="FFFFFF"/>
                <w:sz w:val="19"/>
                <w:szCs w:val="19"/>
              </w:rPr>
              <w:t xml:space="preserve">Notes</w:t>
            </w:r>
          </w:p>
        </w:tc>
      </w:tr>
      <w:tr>
        <w:tc>
          <w:tcPr>
            <w:tcW w:type="dxa" w:w="35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b w:val="false"/>
                <w:bCs w:val="false"/>
                <w:color w:val="000000"/>
                <w:sz w:val="19"/>
                <w:szCs w:val="19"/>
              </w:rPr>
              <w:t xml:space="preserve">Final payment — roofing / deck</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b/>
                <w:bCs/>
                <w:color w:val="000000"/>
                <w:sz w:val="19"/>
                <w:szCs w:val="19"/>
              </w:rPr>
              <w:t xml:space="preserve">$37,412.00</w:t>
            </w:r>
          </w:p>
        </w:tc>
        <w:tc>
          <w:tcPr>
            <w:tcW w:type="dxa" w:w="411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Original balance, “subject to final completion and punch list approval” — which HDG's findings put squarely in question.</w:t>
            </w:r>
          </w:p>
        </w:tc>
      </w:tr>
      <w:tr>
        <w:tc>
          <w:tcPr>
            <w:tcW w:type="dxa" w:w="35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b w:val="false"/>
                <w:bCs w:val="false"/>
                <w:color w:val="000000"/>
                <w:sz w:val="19"/>
                <w:szCs w:val="19"/>
              </w:rPr>
              <w:t xml:space="preserve">Final payment — masonry</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b/>
                <w:bCs/>
                <w:color w:val="000000"/>
                <w:sz w:val="19"/>
                <w:szCs w:val="19"/>
              </w:rPr>
              <w:t xml:space="preserve">$9,373.00</w:t>
            </w:r>
          </w:p>
        </w:tc>
        <w:tc>
          <w:tcPr>
            <w:tcW w:type="dxa" w:w="411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Original balance; HDG found significant masonry scope not performed (through-wall flashing, lintels).</w:t>
            </w:r>
          </w:p>
        </w:tc>
      </w:tr>
      <w:tr>
        <w:tc>
          <w:tcPr>
            <w:tcW w:type="dxa" w:w="3550"/>
            <w:tcBorders>
              <w:top w:val="single" w:color="BBBBBB" w:sz="1"/>
              <w:left w:val="single" w:color="BBBBBB" w:sz="1"/>
              <w:bottom w:val="single" w:color="BBBBBB" w:sz="1"/>
              <w:right w:val="single" w:color="BBBBBB" w:sz="1"/>
            </w:tcBorders>
            <w:shd w:fill="FBEFE0"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NEW — repair flooded roof area (to concrete; new ISO; disposal)</w:t>
            </w:r>
          </w:p>
        </w:tc>
        <w:tc>
          <w:tcPr>
            <w:tcW w:type="dxa" w:w="1700"/>
            <w:tcBorders>
              <w:top w:val="single" w:color="BBBBBB" w:sz="1"/>
              <w:left w:val="single" w:color="BBBBBB" w:sz="1"/>
              <w:bottom w:val="single" w:color="BBBBBB" w:sz="1"/>
              <w:right w:val="single" w:color="BBBBBB" w:sz="1"/>
            </w:tcBorders>
            <w:shd w:fill="FBEFE0" w:val="clear"/>
            <w:tcMar>
              <w:top w:type="dxa" w:w="70"/>
              <w:left w:type="dxa" w:w="110"/>
              <w:bottom w:type="dxa" w:w="70"/>
              <w:right w:type="dxa" w:w="110"/>
            </w:tcMar>
            <w:vAlign w:val="top"/>
          </w:tcPr>
          <w:p>
            <w:pPr>
              <w:spacing w:line="264"/>
              <w:jc w:val="right"/>
            </w:pPr>
            <w:r>
              <w:rPr>
                <w:rFonts w:ascii="Arial" w:cs="Arial" w:eastAsia="Arial" w:hAnsi="Arial"/>
                <w:b/>
                <w:bCs/>
                <w:color w:val="8A5A00"/>
                <w:sz w:val="19"/>
                <w:szCs w:val="19"/>
              </w:rPr>
              <w:t xml:space="preserve">$23,700.00</w:t>
            </w:r>
          </w:p>
        </w:tc>
        <w:tc>
          <w:tcPr>
            <w:tcW w:type="dxa" w:w="4110"/>
            <w:tcBorders>
              <w:top w:val="single" w:color="BBBBBB" w:sz="1"/>
              <w:left w:val="single" w:color="BBBBBB" w:sz="1"/>
              <w:bottom w:val="single" w:color="BBBBBB" w:sz="1"/>
              <w:right w:val="single" w:color="BBBBBB" w:sz="1"/>
            </w:tcBorders>
            <w:shd w:fill="FBEFE0"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Repairs damage HDG attributes to defective installation; requires Board approval.</w:t>
            </w:r>
          </w:p>
        </w:tc>
      </w:tr>
      <w:tr>
        <w:tc>
          <w:tcPr>
            <w:tcW w:type="dxa" w:w="3550"/>
            <w:tcBorders>
              <w:top w:val="single" w:color="BBBBBB" w:sz="1"/>
              <w:left w:val="single" w:color="BBBBBB" w:sz="1"/>
              <w:bottom w:val="single" w:color="BBBBBB" w:sz="1"/>
              <w:right w:val="single" w:color="BBBBBB" w:sz="1"/>
            </w:tcBorders>
            <w:shd w:fill="FBEFE0"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NEW — remove and reset ⅓ of the deck</w:t>
            </w:r>
          </w:p>
        </w:tc>
        <w:tc>
          <w:tcPr>
            <w:tcW w:type="dxa" w:w="1700"/>
            <w:tcBorders>
              <w:top w:val="single" w:color="BBBBBB" w:sz="1"/>
              <w:left w:val="single" w:color="BBBBBB" w:sz="1"/>
              <w:bottom w:val="single" w:color="BBBBBB" w:sz="1"/>
              <w:right w:val="single" w:color="BBBBBB" w:sz="1"/>
            </w:tcBorders>
            <w:shd w:fill="FBEFE0" w:val="clear"/>
            <w:tcMar>
              <w:top w:type="dxa" w:w="70"/>
              <w:left w:type="dxa" w:w="110"/>
              <w:bottom w:type="dxa" w:w="70"/>
              <w:right w:type="dxa" w:w="110"/>
            </w:tcMar>
            <w:vAlign w:val="top"/>
          </w:tcPr>
          <w:p>
            <w:pPr>
              <w:spacing w:line="264"/>
              <w:jc w:val="right"/>
            </w:pPr>
            <w:r>
              <w:rPr>
                <w:rFonts w:ascii="Arial" w:cs="Arial" w:eastAsia="Arial" w:hAnsi="Arial"/>
                <w:b/>
                <w:bCs/>
                <w:color w:val="8A5A00"/>
                <w:sz w:val="19"/>
                <w:szCs w:val="19"/>
              </w:rPr>
              <w:t xml:space="preserve">$16,000.00</w:t>
            </w:r>
          </w:p>
        </w:tc>
        <w:tc>
          <w:tcPr>
            <w:tcW w:type="dxa" w:w="4110"/>
            <w:tcBorders>
              <w:top w:val="single" w:color="BBBBBB" w:sz="1"/>
              <w:left w:val="single" w:color="BBBBBB" w:sz="1"/>
              <w:bottom w:val="single" w:color="BBBBBB" w:sz="1"/>
              <w:right w:val="single" w:color="BBBBBB" w:sz="1"/>
            </w:tcBorders>
            <w:shd w:fill="FBEFE0"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Same damaged area; requires Board approval.</w:t>
            </w:r>
          </w:p>
        </w:tc>
      </w:tr>
      <w:tr>
        <w:tc>
          <w:tcPr>
            <w:tcW w:type="dxa" w:w="3550"/>
            <w:tcBorders>
              <w:top w:val="single" w:color="BBBBBB" w:sz="1"/>
              <w:left w:val="single" w:color="BBBBBB" w:sz="1"/>
              <w:bottom w:val="single" w:color="BBBBBB" w:sz="1"/>
              <w:right w:val="single" w:color="BBBBBB" w:sz="1"/>
            </w:tcBorders>
            <w:shd w:fill="FBEFE0"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NEW — April service hours / inspections</w:t>
            </w:r>
          </w:p>
        </w:tc>
        <w:tc>
          <w:tcPr>
            <w:tcW w:type="dxa" w:w="1700"/>
            <w:tcBorders>
              <w:top w:val="single" w:color="BBBBBB" w:sz="1"/>
              <w:left w:val="single" w:color="BBBBBB" w:sz="1"/>
              <w:bottom w:val="single" w:color="BBBBBB" w:sz="1"/>
              <w:right w:val="single" w:color="BBBBBB" w:sz="1"/>
            </w:tcBorders>
            <w:shd w:fill="FBEFE0" w:val="clear"/>
            <w:tcMar>
              <w:top w:type="dxa" w:w="70"/>
              <w:left w:type="dxa" w:w="110"/>
              <w:bottom w:type="dxa" w:w="70"/>
              <w:right w:type="dxa" w:w="110"/>
            </w:tcMar>
            <w:vAlign w:val="top"/>
          </w:tcPr>
          <w:p>
            <w:pPr>
              <w:spacing w:line="264"/>
              <w:jc w:val="right"/>
            </w:pPr>
            <w:r>
              <w:rPr>
                <w:rFonts w:ascii="Arial" w:cs="Arial" w:eastAsia="Arial" w:hAnsi="Arial"/>
                <w:b/>
                <w:bCs/>
                <w:color w:val="8A5A00"/>
                <w:sz w:val="19"/>
                <w:szCs w:val="19"/>
              </w:rPr>
              <w:t xml:space="preserve">$18,970.00</w:t>
            </w:r>
          </w:p>
        </w:tc>
        <w:tc>
          <w:tcPr>
            <w:tcW w:type="dxa" w:w="4110"/>
            <w:tcBorders>
              <w:top w:val="single" w:color="BBBBBB" w:sz="1"/>
              <w:left w:val="single" w:color="BBBBBB" w:sz="1"/>
              <w:bottom w:val="single" w:color="BBBBBB" w:sz="1"/>
              <w:right w:val="single" w:color="BBBBBB" w:sz="1"/>
            </w:tcBorders>
            <w:shd w:fill="FBEFE0"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Offered at half if the Board signs, or withdrawn if the Board awards Ready Home the masonry project within 60 days with a deposit.</w:t>
            </w:r>
          </w:p>
        </w:tc>
      </w:tr>
      <w:tr>
        <w:tc>
          <w:tcPr>
            <w:tcW w:type="dxa" w:w="355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b w:val="false"/>
                <w:bCs w:val="false"/>
                <w:color w:val="000000"/>
                <w:sz w:val="19"/>
                <w:szCs w:val="19"/>
              </w:rPr>
              <w:t xml:space="preserve">Credits offered (see Section 8)</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b/>
                <w:bCs/>
                <w:color w:val="000000"/>
                <w:sz w:val="19"/>
                <w:szCs w:val="19"/>
              </w:rPr>
              <w:t xml:space="preserve">($13,253.50)</w:t>
            </w:r>
          </w:p>
        </w:tc>
        <w:tc>
          <w:tcPr>
            <w:tcW w:type="dxa" w:w="411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Partial credits for items not fully delivered.</w:t>
            </w:r>
          </w:p>
        </w:tc>
      </w:tr>
    </w:tbl>
    <w:p>
      <w:pPr>
        <w:spacing w:after="40" w:before="0" w:line="276"/>
      </w:pPr>
      <w:r>
        <w:rPr>
          <w:rFonts w:ascii="Arial" w:cs="Arial" w:eastAsia="Arial" w:hAnsi="Arial"/>
          <w:sz w:val="22"/>
          <w:szCs w:val="22"/>
        </w:rPr>
        <w:t xml:space="preserve"/>
      </w:r>
    </w:p>
    <w:p>
      <w:pPr>
        <w:spacing w:after="120" w:before="0" w:line="276"/>
      </w:pPr>
      <w:r>
        <w:rPr>
          <w:rFonts w:ascii="Arial" w:cs="Arial" w:eastAsia="Arial" w:hAnsi="Arial"/>
          <w:b/>
          <w:bCs/>
          <w:color w:val="1F3864"/>
          <w:sz w:val="22"/>
          <w:szCs w:val="22"/>
        </w:rPr>
        <w:t xml:space="preserve">Pain points with the proposal:</w:t>
      </w:r>
    </w:p>
    <w:p>
      <w:pPr>
        <w:pStyle w:val="ListParagraph"/>
        <w:numPr>
          <w:ilvl w:val="0"/>
          <w:numId w:val="2"/>
        </w:numPr>
        <w:spacing w:after="80" w:line="276"/>
      </w:pPr>
      <w:r>
        <w:rPr>
          <w:rFonts w:ascii="Arial" w:cs="Arial" w:eastAsia="Arial" w:hAnsi="Arial"/>
          <w:b/>
          <w:bCs/>
          <w:sz w:val="22"/>
          <w:szCs w:val="22"/>
        </w:rPr>
        <w:t xml:space="preserve">Paying to fix their own defect. </w:t>
      </w:r>
      <w:r>
        <w:rPr>
          <w:rFonts w:ascii="Arial" w:cs="Arial" w:eastAsia="Arial" w:hAnsi="Arial"/>
          <w:sz w:val="22"/>
          <w:szCs w:val="22"/>
        </w:rPr>
        <w:t xml:space="preserve">The largest new charge ($23,700 + $16,000) repairs damage HDG attributes to defective installation, not a weather event.</w:t>
      </w:r>
    </w:p>
    <w:p>
      <w:pPr>
        <w:pStyle w:val="ListParagraph"/>
        <w:numPr>
          <w:ilvl w:val="0"/>
          <w:numId w:val="2"/>
        </w:numPr>
        <w:spacing w:after="80" w:line="276"/>
      </w:pPr>
      <w:r>
        <w:rPr>
          <w:rFonts w:ascii="Arial" w:cs="Arial" w:eastAsia="Arial" w:hAnsi="Arial"/>
          <w:b/>
          <w:bCs/>
          <w:sz w:val="22"/>
          <w:szCs w:val="22"/>
        </w:rPr>
        <w:t xml:space="preserve">An admission hiding in plain sight. </w:t>
      </w:r>
      <w:r>
        <w:rPr>
          <w:rFonts w:ascii="Arial" w:cs="Arial" w:eastAsia="Arial" w:hAnsi="Arial"/>
          <w:sz w:val="22"/>
          <w:szCs w:val="22"/>
        </w:rPr>
        <w:t xml:space="preserve">The repair is described as going to the concrete “(1st and 2nd layer of existing modified bitumen),” confirming two existing layers were left under the new roof — contrary to spec and permit.</w:t>
      </w:r>
    </w:p>
    <w:p>
      <w:pPr>
        <w:pStyle w:val="ListParagraph"/>
        <w:numPr>
          <w:ilvl w:val="0"/>
          <w:numId w:val="2"/>
        </w:numPr>
        <w:spacing w:after="80" w:line="276"/>
      </w:pPr>
      <w:r>
        <w:rPr>
          <w:rFonts w:ascii="Arial" w:cs="Arial" w:eastAsia="Arial" w:hAnsi="Arial"/>
          <w:b/>
          <w:bCs/>
          <w:sz w:val="22"/>
          <w:szCs w:val="22"/>
        </w:rPr>
        <w:t xml:space="preserve">New, harsher payment terms. </w:t>
      </w:r>
      <w:r>
        <w:rPr>
          <w:rFonts w:ascii="Arial" w:cs="Arial" w:eastAsia="Arial" w:hAnsi="Arial"/>
          <w:sz w:val="22"/>
          <w:szCs w:val="22"/>
        </w:rPr>
        <w:t xml:space="preserve">It imposes 14-day payment terms with a “breach” trigger and a right to suspend work — terms not in the original contract.</w:t>
      </w:r>
    </w:p>
    <w:p>
      <w:pPr>
        <w:pStyle w:val="ListParagraph"/>
        <w:numPr>
          <w:ilvl w:val="0"/>
          <w:numId w:val="2"/>
        </w:numPr>
        <w:spacing w:after="80" w:line="276"/>
      </w:pPr>
      <w:r>
        <w:rPr>
          <w:rFonts w:ascii="Arial" w:cs="Arial" w:eastAsia="Arial" w:hAnsi="Arial"/>
          <w:b/>
          <w:bCs/>
          <w:sz w:val="22"/>
          <w:szCs w:val="22"/>
        </w:rPr>
        <w:t xml:space="preserve">Repairs held hostage to contested balances. </w:t>
      </w:r>
      <w:r>
        <w:rPr>
          <w:rFonts w:ascii="Arial" w:cs="Arial" w:eastAsia="Arial" w:hAnsi="Arial"/>
          <w:sz w:val="22"/>
          <w:szCs w:val="22"/>
        </w:rPr>
        <w:t xml:space="preserve">It requires both final balances paid before the repair starts, though final completion is disputed and HDG found extensive non-completion.</w:t>
      </w:r>
    </w:p>
    <w:p>
      <w:pPr>
        <w:pStyle w:val="ListParagraph"/>
        <w:numPr>
          <w:ilvl w:val="0"/>
          <w:numId w:val="2"/>
        </w:numPr>
        <w:spacing w:after="80" w:line="276"/>
      </w:pPr>
      <w:r>
        <w:rPr>
          <w:rFonts w:ascii="Arial" w:cs="Arial" w:eastAsia="Arial" w:hAnsi="Arial"/>
          <w:b/>
          <w:bCs/>
          <w:sz w:val="22"/>
          <w:szCs w:val="22"/>
        </w:rPr>
        <w:t xml:space="preserve">A charge tied to awarding more work. </w:t>
      </w:r>
      <w:r>
        <w:rPr>
          <w:rFonts w:ascii="Arial" w:cs="Arial" w:eastAsia="Arial" w:hAnsi="Arial"/>
          <w:sz w:val="22"/>
          <w:szCs w:val="22"/>
        </w:rPr>
        <w:t xml:space="preserve">The $18,970 is dropped if the Association awards Ready Home the masonry project — the same masonry work HDG found was not properly performed the first time.</w:t>
      </w:r>
    </w:p>
    <w:p>
      <w:pPr>
        <w:pStyle w:val="Heading1"/>
        <w:spacing w:after="130" w:before="300"/>
      </w:pPr>
      <w:r>
        <w:rPr>
          <w:rFonts w:ascii="Arial" w:cs="Arial" w:eastAsia="Arial" w:hAnsi="Arial"/>
        </w:rPr>
        <w:t xml:space="preserve">8. Credits Offered vs. What Is Arguable</w:t>
      </w:r>
    </w:p>
    <w:p>
      <w:pPr>
        <w:spacing w:after="120" w:before="0" w:line="276"/>
      </w:pPr>
      <w:r>
        <w:rPr>
          <w:rFonts w:ascii="Arial" w:cs="Arial" w:eastAsia="Arial" w:hAnsi="Arial"/>
          <w:sz w:val="22"/>
          <w:szCs w:val="22"/>
        </w:rPr>
        <w:t xml:space="preserve">The change order offers $13,253.50 in credits. Several are partial or refused for items HDG confirms were not delivered as specified: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700"/>
        <w:gridCol w:w="1700"/>
        <w:gridCol w:w="3460"/>
      </w:tblGrid>
      <w:tr>
        <w:trPr>
          <w:tblHeader/>
        </w:trPr>
        <w:tc>
          <w:tcPr>
            <w:tcW w:type="dxa" w:w="2500"/>
            <w:tcBorders>
              <w:top w:val="single" w:color="BBBBBB" w:sz="1"/>
              <w:left w:val="single" w:color="BBBBBB" w:sz="1"/>
              <w:bottom w:val="single" w:color="BBBBBB" w:sz="1"/>
              <w:right w:val="single" w:color="BBBBBB" w:sz="1"/>
            </w:tcBorders>
            <w:shd w:fill="1F3864" w:val="clear"/>
            <w:tcMar>
              <w:top w:type="dxa" w:w="70"/>
              <w:left w:type="dxa" w:w="110"/>
              <w:bottom w:type="dxa" w:w="70"/>
              <w:right w:type="dxa" w:w="110"/>
            </w:tcMar>
            <w:vAlign w:val="top"/>
          </w:tcPr>
          <w:p>
            <w:pPr>
              <w:spacing w:line="264"/>
            </w:pPr>
            <w:r>
              <w:rPr>
                <w:rFonts w:ascii="Arial" w:cs="Arial" w:eastAsia="Arial" w:hAnsi="Arial"/>
                <w:b/>
                <w:bCs/>
                <w:color w:val="FFFFFF"/>
                <w:sz w:val="19"/>
                <w:szCs w:val="19"/>
              </w:rPr>
              <w:t xml:space="preserve">Credit item</w:t>
            </w:r>
          </w:p>
        </w:tc>
        <w:tc>
          <w:tcPr>
            <w:tcW w:type="dxa" w:w="1700"/>
            <w:tcBorders>
              <w:top w:val="single" w:color="BBBBBB" w:sz="1"/>
              <w:left w:val="single" w:color="BBBBBB" w:sz="1"/>
              <w:bottom w:val="single" w:color="BBBBBB" w:sz="1"/>
              <w:right w:val="single" w:color="BBBBBB" w:sz="1"/>
            </w:tcBorders>
            <w:shd w:fill="1F3864" w:val="clear"/>
            <w:tcMar>
              <w:top w:type="dxa" w:w="70"/>
              <w:left w:type="dxa" w:w="110"/>
              <w:bottom w:type="dxa" w:w="70"/>
              <w:right w:type="dxa" w:w="110"/>
            </w:tcMar>
            <w:vAlign w:val="top"/>
          </w:tcPr>
          <w:p>
            <w:pPr>
              <w:spacing w:line="264"/>
              <w:jc w:val="right"/>
            </w:pPr>
            <w:r>
              <w:rPr>
                <w:rFonts w:ascii="Arial" w:cs="Arial" w:eastAsia="Arial" w:hAnsi="Arial"/>
                <w:b/>
                <w:bCs/>
                <w:color w:val="FFFFFF"/>
                <w:sz w:val="19"/>
                <w:szCs w:val="19"/>
              </w:rPr>
              <w:t xml:space="preserve">Contract value</w:t>
            </w:r>
          </w:p>
        </w:tc>
        <w:tc>
          <w:tcPr>
            <w:tcW w:type="dxa" w:w="1700"/>
            <w:tcBorders>
              <w:top w:val="single" w:color="BBBBBB" w:sz="1"/>
              <w:left w:val="single" w:color="BBBBBB" w:sz="1"/>
              <w:bottom w:val="single" w:color="BBBBBB" w:sz="1"/>
              <w:right w:val="single" w:color="BBBBBB" w:sz="1"/>
            </w:tcBorders>
            <w:shd w:fill="1F3864" w:val="clear"/>
            <w:tcMar>
              <w:top w:type="dxa" w:w="70"/>
              <w:left w:type="dxa" w:w="110"/>
              <w:bottom w:type="dxa" w:w="70"/>
              <w:right w:type="dxa" w:w="110"/>
            </w:tcMar>
            <w:vAlign w:val="top"/>
          </w:tcPr>
          <w:p>
            <w:pPr>
              <w:spacing w:line="264"/>
              <w:jc w:val="right"/>
            </w:pPr>
            <w:r>
              <w:rPr>
                <w:rFonts w:ascii="Arial" w:cs="Arial" w:eastAsia="Arial" w:hAnsi="Arial"/>
                <w:b/>
                <w:bCs/>
                <w:color w:val="FFFFFF"/>
                <w:sz w:val="19"/>
                <w:szCs w:val="19"/>
              </w:rPr>
              <w:t xml:space="preserve">Offered</w:t>
            </w:r>
          </w:p>
        </w:tc>
        <w:tc>
          <w:tcPr>
            <w:tcW w:type="dxa" w:w="3460"/>
            <w:tcBorders>
              <w:top w:val="single" w:color="BBBBBB" w:sz="1"/>
              <w:left w:val="single" w:color="BBBBBB" w:sz="1"/>
              <w:bottom w:val="single" w:color="BBBBBB" w:sz="1"/>
              <w:right w:val="single" w:color="BBBBBB" w:sz="1"/>
            </w:tcBorders>
            <w:shd w:fill="1F3864" w:val="clear"/>
            <w:tcMar>
              <w:top w:type="dxa" w:w="70"/>
              <w:left w:type="dxa" w:w="110"/>
              <w:bottom w:type="dxa" w:w="70"/>
              <w:right w:type="dxa" w:w="110"/>
            </w:tcMar>
            <w:vAlign w:val="top"/>
          </w:tcPr>
          <w:p>
            <w:pPr>
              <w:spacing w:line="264"/>
            </w:pPr>
            <w:r>
              <w:rPr>
                <w:rFonts w:ascii="Arial" w:cs="Arial" w:eastAsia="Arial" w:hAnsi="Arial"/>
                <w:b/>
                <w:bCs/>
                <w:color w:val="FFFFFF"/>
                <w:sz w:val="19"/>
                <w:szCs w:val="19"/>
              </w:rPr>
              <w:t xml:space="preserve">Association's concern</w:t>
            </w:r>
          </w:p>
        </w:tc>
      </w:tr>
      <w:tr>
        <w:tc>
          <w:tcPr>
            <w:tcW w:type="dxa" w:w="25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b w:val="false"/>
                <w:bCs w:val="false"/>
                <w:color w:val="000000"/>
                <w:sz w:val="19"/>
                <w:szCs w:val="19"/>
              </w:rPr>
              <w:t xml:space="preserve">Tear-off</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color w:val="000000"/>
                <w:sz w:val="19"/>
                <w:szCs w:val="19"/>
              </w:rPr>
              <w:t xml:space="preserve">$10,207.45</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b w:val="false"/>
                <w:bCs w:val="false"/>
                <w:color w:val="000000"/>
                <w:sz w:val="19"/>
                <w:szCs w:val="19"/>
              </w:rPr>
              <w:t xml:space="preserve">$5,103.50</w:t>
            </w:r>
          </w:p>
        </w:tc>
        <w:tc>
          <w:tcPr>
            <w:tcW w:type="dxa" w:w="34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Half offered, yet HDG confirms the tear-off to deck was not performed.</w:t>
            </w:r>
          </w:p>
        </w:tc>
      </w:tr>
      <w:tr>
        <w:tc>
          <w:tcPr>
            <w:tcW w:type="dxa" w:w="25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b w:val="false"/>
                <w:bCs w:val="false"/>
                <w:color w:val="000000"/>
                <w:sz w:val="19"/>
                <w:szCs w:val="19"/>
              </w:rPr>
              <w:t xml:space="preserve">Concrete allowance</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color w:val="000000"/>
                <w:sz w:val="19"/>
                <w:szCs w:val="19"/>
              </w:rPr>
              <w:t xml:space="preserve">$7,500.00</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b w:val="false"/>
                <w:bCs w:val="false"/>
                <w:color w:val="000000"/>
                <w:sz w:val="19"/>
                <w:szCs w:val="19"/>
              </w:rPr>
              <w:t xml:space="preserve">$3,750.00</w:t>
            </w:r>
          </w:p>
        </w:tc>
        <w:tc>
          <w:tcPr>
            <w:tcW w:type="dxa" w:w="34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Half offered; allowance unused — the deck was never exposed.</w:t>
            </w:r>
          </w:p>
        </w:tc>
      </w:tr>
      <w:tr>
        <w:tc>
          <w:tcPr>
            <w:tcW w:type="dxa" w:w="25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b w:val="false"/>
                <w:bCs w:val="false"/>
                <w:color w:val="000000"/>
                <w:sz w:val="19"/>
                <w:szCs w:val="19"/>
              </w:rPr>
              <w:t xml:space="preserve">ISO board</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color w:val="000000"/>
                <w:sz w:val="19"/>
                <w:szCs w:val="19"/>
              </w:rPr>
              <w:t xml:space="preserve">$8,000.00</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b w:val="false"/>
                <w:bCs w:val="false"/>
                <w:color w:val="000000"/>
                <w:sz w:val="19"/>
                <w:szCs w:val="19"/>
              </w:rPr>
              <w:t xml:space="preserve">$0.00</w:t>
            </w:r>
          </w:p>
        </w:tc>
        <w:tc>
          <w:tcPr>
            <w:tcW w:type="dxa" w:w="34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Refused; HDG confirms only one layer was installed where two were required.</w:t>
            </w:r>
          </w:p>
        </w:tc>
      </w:tr>
      <w:tr>
        <w:tc>
          <w:tcPr>
            <w:tcW w:type="dxa" w:w="25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b w:val="false"/>
                <w:bCs w:val="false"/>
                <w:color w:val="000000"/>
                <w:sz w:val="19"/>
                <w:szCs w:val="19"/>
              </w:rPr>
              <w:t xml:space="preserve">Drains</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color w:val="000000"/>
                <w:sz w:val="19"/>
                <w:szCs w:val="19"/>
              </w:rPr>
              <w:t xml:space="preserve">$2,400.00</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b w:val="false"/>
                <w:bCs w:val="false"/>
                <w:color w:val="000000"/>
                <w:sz w:val="19"/>
                <w:szCs w:val="19"/>
              </w:rPr>
              <w:t xml:space="preserve">$2,400.00</w:t>
            </w:r>
          </w:p>
        </w:tc>
        <w:tc>
          <w:tcPr>
            <w:tcW w:type="dxa" w:w="34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Credited in full — consistent with HDG's drain findings.</w:t>
            </w:r>
          </w:p>
        </w:tc>
      </w:tr>
      <w:tr>
        <w:tc>
          <w:tcPr>
            <w:tcW w:type="dxa" w:w="25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b w:val="false"/>
                <w:bCs w:val="false"/>
                <w:color w:val="000000"/>
                <w:sz w:val="19"/>
                <w:szCs w:val="19"/>
              </w:rPr>
              <w:t xml:space="preserve">Guardrails</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color w:val="000000"/>
                <w:sz w:val="19"/>
                <w:szCs w:val="19"/>
              </w:rPr>
              <w:t xml:space="preserve">$2,000.00</w:t>
            </w:r>
          </w:p>
        </w:tc>
        <w:tc>
          <w:tcPr>
            <w:tcW w:type="dxa" w:w="170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jc w:val="right"/>
            </w:pPr>
            <w:r>
              <w:rPr>
                <w:rFonts w:ascii="Arial" w:cs="Arial" w:eastAsia="Arial" w:hAnsi="Arial"/>
                <w:b w:val="false"/>
                <w:bCs w:val="false"/>
                <w:color w:val="000000"/>
                <w:sz w:val="19"/>
                <w:szCs w:val="19"/>
              </w:rPr>
              <w:t xml:space="preserve">$2,000.00</w:t>
            </w:r>
          </w:p>
        </w:tc>
        <w:tc>
          <w:tcPr>
            <w:tcW w:type="dxa" w:w="3460"/>
            <w:tcBorders>
              <w:top w:val="single" w:color="BBBBBB" w:sz="1"/>
              <w:left w:val="single" w:color="BBBBBB" w:sz="1"/>
              <w:bottom w:val="single" w:color="BBBBBB" w:sz="1"/>
              <w:right w:val="single" w:color="BBBBBB" w:sz="1"/>
            </w:tcBorders>
            <w:shd w:fill="FFFFFF"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Credited in full — HDG confirms railings were not properly installed.</w:t>
            </w:r>
          </w:p>
        </w:tc>
      </w:tr>
      <w:tr>
        <w:tc>
          <w:tcPr>
            <w:tcW w:type="dxa" w:w="250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b/>
                <w:bCs/>
                <w:color w:val="000000"/>
                <w:sz w:val="19"/>
                <w:szCs w:val="19"/>
              </w:rPr>
              <w:t xml:space="preserve">Total</w:t>
            </w:r>
          </w:p>
        </w:tc>
        <w:tc>
          <w:tcPr>
            <w:tcW w:type="dxa" w:w="170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jc w:val="right"/>
            </w:pPr>
            <w:r>
              <w:rPr>
                <w:rFonts w:ascii="Arial" w:cs="Arial" w:eastAsia="Arial" w:hAnsi="Arial"/>
                <w:color w:val="000000"/>
                <w:sz w:val="19"/>
                <w:szCs w:val="19"/>
              </w:rPr>
              <w:t xml:space="preserve"/>
            </w:r>
          </w:p>
        </w:tc>
        <w:tc>
          <w:tcPr>
            <w:tcW w:type="dxa" w:w="170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jc w:val="right"/>
            </w:pPr>
            <w:r>
              <w:rPr>
                <w:rFonts w:ascii="Arial" w:cs="Arial" w:eastAsia="Arial" w:hAnsi="Arial"/>
                <w:b/>
                <w:bCs/>
                <w:color w:val="000000"/>
                <w:sz w:val="19"/>
                <w:szCs w:val="19"/>
              </w:rPr>
              <w:t xml:space="preserve">$13,253.50</w:t>
            </w:r>
          </w:p>
        </w:tc>
        <w:tc>
          <w:tcPr>
            <w:tcW w:type="dxa" w:w="3460"/>
            <w:tcBorders>
              <w:top w:val="single" w:color="BBBBBB" w:sz="1"/>
              <w:left w:val="single" w:color="BBBBBB" w:sz="1"/>
              <w:bottom w:val="single" w:color="BBBBBB" w:sz="1"/>
              <w:right w:val="single" w:color="BBBBBB" w:sz="1"/>
            </w:tcBorders>
            <w:shd w:fill="EAF0F7" w:val="clear"/>
            <w:tcMar>
              <w:top w:type="dxa" w:w="70"/>
              <w:left w:type="dxa" w:w="110"/>
              <w:bottom w:type="dxa" w:w="70"/>
              <w:right w:type="dxa" w:w="110"/>
            </w:tcMar>
            <w:vAlign w:val="top"/>
          </w:tcPr>
          <w:p>
            <w:pPr>
              <w:spacing w:line="264"/>
            </w:pPr>
            <w:r>
              <w:rPr>
                <w:rFonts w:ascii="Arial" w:cs="Arial" w:eastAsia="Arial" w:hAnsi="Arial"/>
                <w:color w:val="000000"/>
                <w:sz w:val="19"/>
                <w:szCs w:val="19"/>
              </w:rPr>
              <w:t xml:space="preserve">Credits are modest next to the new charges — and exclude the un-performed masonry scope HDG identified.</w:t>
            </w:r>
          </w:p>
        </w:tc>
      </w:tr>
    </w:tbl>
    <w:p>
      <w:pPr>
        <w:pStyle w:val="Heading1"/>
        <w:spacing w:after="130" w:before="300"/>
      </w:pPr>
      <w:r>
        <w:rPr>
          <w:rFonts w:ascii="Arial" w:cs="Arial" w:eastAsia="Arial" w:hAnsi="Arial"/>
        </w:rPr>
        <w:t xml:space="preserve">9. The Board's Concerns, in Plain Terms</w:t>
      </w:r>
    </w:p>
    <w:p>
      <w:pPr>
        <w:spacing w:after="120" w:before="0" w:line="276"/>
      </w:pPr>
      <w:r>
        <w:rPr>
          <w:rFonts w:ascii="Arial" w:cs="Arial" w:eastAsia="Arial" w:hAnsi="Arial"/>
          <w:sz w:val="22"/>
          <w:szCs w:val="22"/>
        </w:rPr>
        <w:t xml:space="preserve">With HDG's report now in hand, the Board's concerns are no longer interpretation — they are supported by an independent licensed expert:</w:t>
      </w:r>
    </w:p>
    <w:p>
      <w:pPr>
        <w:pStyle w:val="ListParagraph"/>
        <w:numPr>
          <w:ilvl w:val="0"/>
          <w:numId w:val="2"/>
        </w:numPr>
        <w:spacing w:after="80" w:line="276"/>
      </w:pPr>
      <w:r>
        <w:rPr>
          <w:rFonts w:ascii="Arial" w:cs="Arial" w:eastAsia="Arial" w:hAnsi="Arial"/>
          <w:sz w:val="22"/>
          <w:szCs w:val="22"/>
        </w:rPr>
        <w:t xml:space="preserve">We paid for a roof replacement and masonry restoration, and an independent expert finds the roof was not torn off, the insulation was halved, counterflashing and cant strips were omitted, the drains were defective, and the new roof is already taking on water — a failure.</w:t>
      </w:r>
    </w:p>
    <w:p>
      <w:pPr>
        <w:pStyle w:val="ListParagraph"/>
        <w:numPr>
          <w:ilvl w:val="0"/>
          <w:numId w:val="2"/>
        </w:numPr>
        <w:spacing w:after="80" w:line="276"/>
      </w:pPr>
      <w:r>
        <w:rPr>
          <w:rFonts w:ascii="Arial" w:cs="Arial" w:eastAsia="Arial" w:hAnsi="Arial"/>
          <w:sz w:val="22"/>
          <w:szCs w:val="22"/>
        </w:rPr>
        <w:t xml:space="preserve">We received no drainage assessment, no written change orders, and no engineer inspection reports or punch lists for the entire project.</w:t>
      </w:r>
    </w:p>
    <w:p>
      <w:pPr>
        <w:pStyle w:val="ListParagraph"/>
        <w:numPr>
          <w:ilvl w:val="0"/>
          <w:numId w:val="2"/>
        </w:numPr>
        <w:spacing w:after="80" w:line="276"/>
      </w:pPr>
      <w:r>
        <w:rPr>
          <w:rFonts w:ascii="Arial" w:cs="Arial" w:eastAsia="Arial" w:hAnsi="Arial"/>
          <w:sz w:val="22"/>
          <w:szCs w:val="22"/>
        </w:rPr>
        <w:t xml:space="preserve">HDG finds the engineer did not meet the standard of care — meaning the responsibility is shared between the contractor and the firm we hired to protect us.</w:t>
      </w:r>
    </w:p>
    <w:p>
      <w:pPr>
        <w:pStyle w:val="ListParagraph"/>
        <w:numPr>
          <w:ilvl w:val="0"/>
          <w:numId w:val="2"/>
        </w:numPr>
        <w:spacing w:after="80" w:line="276"/>
      </w:pPr>
      <w:r>
        <w:rPr>
          <w:rFonts w:ascii="Arial" w:cs="Arial" w:eastAsia="Arial" w:hAnsi="Arial"/>
          <w:sz w:val="22"/>
          <w:szCs w:val="22"/>
        </w:rPr>
        <w:t xml:space="preserve">Significant masonry work we paid for — through-wall flashing under copings and balustrades, sixth-floor lintels, full tuckpointing — was not performed, with no credit.</w:t>
      </w:r>
    </w:p>
    <w:p>
      <w:pPr>
        <w:pStyle w:val="ListParagraph"/>
        <w:numPr>
          <w:ilvl w:val="0"/>
          <w:numId w:val="2"/>
        </w:numPr>
        <w:spacing w:after="80" w:line="276"/>
      </w:pPr>
      <w:r>
        <w:rPr>
          <w:rFonts w:ascii="Arial" w:cs="Arial" w:eastAsia="Arial" w:hAnsi="Arial"/>
          <w:sz w:val="22"/>
          <w:szCs w:val="22"/>
        </w:rPr>
        <w:t xml:space="preserve">We are being asked to pay roughly $39,700 to repair damage HDG attributes to defective installation, plus $18,970 in service time waived only if we sign quickly or award the contractor the next project.</w:t>
      </w:r>
    </w:p>
    <w:p>
      <w:pPr>
        <w:pStyle w:val="ListParagraph"/>
        <w:numPr>
          <w:ilvl w:val="0"/>
          <w:numId w:val="2"/>
        </w:numPr>
        <w:spacing w:after="80" w:line="276"/>
      </w:pPr>
      <w:r>
        <w:rPr>
          <w:rFonts w:ascii="Arial" w:cs="Arial" w:eastAsia="Arial" w:hAnsi="Arial"/>
          <w:sz w:val="22"/>
          <w:szCs w:val="22"/>
        </w:rPr>
        <w:t xml:space="preserve">The credits offered for undelivered work are partial, and the largest (insulation) is refused.</w:t>
      </w:r>
    </w:p>
    <w:p>
      <w:pPr>
        <w:pStyle w:val="ListParagraph"/>
        <w:numPr>
          <w:ilvl w:val="0"/>
          <w:numId w:val="2"/>
        </w:numPr>
        <w:spacing w:after="80" w:line="276"/>
      </w:pPr>
      <w:r>
        <w:rPr>
          <w:rFonts w:ascii="Arial" w:cs="Arial" w:eastAsia="Arial" w:hAnsi="Arial"/>
          <w:sz w:val="22"/>
          <w:szCs w:val="22"/>
        </w:rPr>
        <w:t xml:space="preserve">What was built does not match the City tear-off permit, and we have no confirmed manufacturer warranty on the new roof.</w:t>
      </w:r>
    </w:p>
    <w:p>
      <w:pPr>
        <w:pStyle w:val="Heading1"/>
        <w:spacing w:after="130" w:before="300"/>
      </w:pPr>
      <w:r>
        <w:rPr>
          <w:rFonts w:ascii="Arial" w:cs="Arial" w:eastAsia="Arial" w:hAnsi="Arial"/>
        </w:rPr>
        <w:t xml:space="preserve">10. Where This Leaves Us — Recommended Next Steps</w:t>
      </w:r>
    </w:p>
    <w:p>
      <w:pPr>
        <w:pStyle w:val="ListParagraph"/>
        <w:numPr>
          <w:ilvl w:val="0"/>
          <w:numId w:val="3"/>
        </w:numPr>
        <w:spacing w:after="80" w:line="276"/>
      </w:pPr>
      <w:r>
        <w:rPr>
          <w:rFonts w:ascii="Arial" w:cs="Arial" w:eastAsia="Arial" w:hAnsi="Arial"/>
          <w:sz w:val="22"/>
          <w:szCs w:val="22"/>
        </w:rPr>
        <w:t xml:space="preserve">Do not sign or pay the change order. An unsigned change order is a proposal, not a debt, and HDG's findings put the final balances themselves in question.</w:t>
      </w:r>
    </w:p>
    <w:p>
      <w:pPr>
        <w:pStyle w:val="ListParagraph"/>
        <w:numPr>
          <w:ilvl w:val="0"/>
          <w:numId w:val="3"/>
        </w:numPr>
        <w:spacing w:after="80" w:line="276"/>
      </w:pPr>
      <w:r>
        <w:rPr>
          <w:rFonts w:ascii="Arial" w:cs="Arial" w:eastAsia="Arial" w:hAnsi="Arial"/>
          <w:sz w:val="22"/>
          <w:szCs w:val="22"/>
        </w:rPr>
        <w:t xml:space="preserve">Let counsel drive next steps. The HDG report supports potential claims against both Ready Home (workmanship) and Kipcon (professional negligence / standard of care).</w:t>
      </w:r>
    </w:p>
    <w:p>
      <w:pPr>
        <w:pStyle w:val="ListParagraph"/>
        <w:numPr>
          <w:ilvl w:val="0"/>
          <w:numId w:val="3"/>
        </w:numPr>
        <w:spacing w:after="80" w:line="276"/>
      </w:pPr>
      <w:r>
        <w:rPr>
          <w:rFonts w:ascii="Arial" w:cs="Arial" w:eastAsia="Arial" w:hAnsi="Arial"/>
          <w:sz w:val="22"/>
          <w:szCs w:val="22"/>
        </w:rPr>
        <w:t xml:space="preserve">Preserve the evidence. Do not allow the damaged area to be repaired or the membrane to be re-covered before counsel and the relevant insurers/experts have had the opportunity to inspect — the proposed repair would destroy key evidence.</w:t>
      </w:r>
    </w:p>
    <w:p>
      <w:pPr>
        <w:pStyle w:val="ListParagraph"/>
        <w:numPr>
          <w:ilvl w:val="0"/>
          <w:numId w:val="3"/>
        </w:numPr>
        <w:spacing w:after="80" w:line="276"/>
      </w:pPr>
      <w:r>
        <w:rPr>
          <w:rFonts w:ascii="Arial" w:cs="Arial" w:eastAsia="Arial" w:hAnsi="Arial"/>
          <w:sz w:val="22"/>
          <w:szCs w:val="22"/>
        </w:rPr>
        <w:t xml:space="preserve">Put the insurers on notice (through counsel): the Association's own carrier, Ready Home's general liability carrier, and Kipcon's professional-liability (E&amp;O) carrier. Late notice can jeopardize coverage.</w:t>
      </w:r>
    </w:p>
    <w:p>
      <w:pPr>
        <w:pStyle w:val="ListParagraph"/>
        <w:numPr>
          <w:ilvl w:val="0"/>
          <w:numId w:val="3"/>
        </w:numPr>
        <w:spacing w:after="80" w:line="276"/>
      </w:pPr>
      <w:r>
        <w:rPr>
          <w:rFonts w:ascii="Arial" w:cs="Arial" w:eastAsia="Arial" w:hAnsi="Arial"/>
          <w:sz w:val="22"/>
          <w:szCs w:val="22"/>
        </w:rPr>
        <w:t xml:space="preserve">Request the missing documentation: the drainage assessment, any core/moisture testing, all inspection records and punch lists, change orders, and the manufacturer warranty for the new assembly.</w:t>
      </w:r>
    </w:p>
    <w:p>
      <w:pPr>
        <w:pStyle w:val="ListParagraph"/>
        <w:numPr>
          <w:ilvl w:val="0"/>
          <w:numId w:val="3"/>
        </w:numPr>
        <w:spacing w:after="80" w:line="276"/>
      </w:pPr>
      <w:r>
        <w:rPr>
          <w:rFonts w:ascii="Arial" w:cs="Arial" w:eastAsia="Arial" w:hAnsi="Arial"/>
          <w:sz w:val="22"/>
          <w:szCs w:val="22"/>
        </w:rPr>
        <w:t xml:space="preserve">Have HDG and counsel separate “defect correction the contractor/engineer owes” from any “legitimate extra the Association should pay,” and quantify remediation.</w:t>
      </w:r>
    </w:p>
    <w:p>
      <w:pPr>
        <w:spacing w:after="120" w:before="120" w:line="276"/>
      </w:pPr>
      <w:r>
        <w:rPr>
          <w:rFonts w:ascii="Arial" w:cs="Arial" w:eastAsia="Arial" w:hAnsi="Arial"/>
          <w:sz w:val="22"/>
          <w:szCs w:val="22"/>
        </w:rPr>
        <w:t xml:space="preserve"/>
      </w:r>
    </w:p>
    <w:p>
      <w:pPr>
        <w:spacing w:after="120" w:before="0" w:line="276"/>
      </w:pPr>
      <w:r>
        <w:rPr>
          <w:rFonts w:ascii="Arial" w:cs="Arial" w:eastAsia="Arial" w:hAnsi="Arial"/>
          <w:i/>
          <w:iCs/>
          <w:color w:val="595959"/>
          <w:sz w:val="18"/>
          <w:szCs w:val="18"/>
        </w:rPr>
        <w:t xml:space="preserve">Prepared for the Board's internal use and for sharing with the Association's consultant and counsel. Dollar figures and quoted language should be confirmed against the executed originals and HDG's report. This summary is not legal advice.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r>
      <w:rPr>
        <w:rFonts w:ascii="Arial" w:cs="Arial" w:eastAsia="Arial" w:hAnsi="Arial"/>
        <w:color w:val="595959"/>
        <w:sz w:val="16"/>
        <w:szCs w:val="16"/>
      </w:rPr>
      <w:t xml:space="preserve"> of </w:t>
    </w:r>
    <w:r>
      <w:rPr>
        <w:rFonts w:ascii="Arial" w:cs="Arial" w:eastAsia="Arial" w:hAnsi="Arial"/>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jc w:val="right"/>
    </w:pPr>
    <w:r>
      <w:rPr>
        <w:rFonts w:ascii="Arial" w:cs="Arial" w:eastAsia="Arial" w:hAnsi="Arial"/>
        <w:color w:val="595959"/>
        <w:sz w:val="16"/>
        <w:szCs w:val="16"/>
      </w:rPr>
      <w:t xml:space="preserve">Cheval Club Condominium Association — Summary of Concerns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20" w:hanging="300"/>
      </w:pPr>
    </w:lvl>
  </w:abstractNum>
  <w:abstractNum w:abstractNumId="3" w15:restartNumberingAfterBreak="0">
    <w:multiLevelType w:val="hybridMultilevel"/>
    <w:lvl w:ilvl="0" w15:tentative="1">
      <w:start w:val="1"/>
      <w:numFmt w:val="decimal"/>
      <w:lvlText w:val="%1."/>
      <w:lvlJc w:val="left"/>
      <w:pPr>
        <w:ind w:left="62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30" w:before="300"/>
      <w:outlineLvl w:val="0"/>
    </w:pPr>
    <w:rPr>
      <w:rFonts w:ascii="Arial" w:cs="Arial" w:eastAsia="Arial" w:hAnsi="Arial"/>
      <w:b/>
      <w:bCs/>
      <w:color w:val="1F3864"/>
      <w:sz w:val="26"/>
      <w:szCs w:val="26"/>
    </w:rPr>
  </w:style>
  <w:style w:type="paragraph" w:styleId="Heading2">
    <w:name w:val="Heading 2"/>
    <w:basedOn w:val="Normal"/>
    <w:next w:val="Normal"/>
    <w:qFormat/>
    <w:pPr>
      <w:spacing w:after="90" w:before="200"/>
      <w:outlineLvl w:val="1"/>
    </w:pPr>
    <w:rPr>
      <w:rFonts w:ascii="Arial" w:cs="Arial" w:eastAsia="Arial" w:hAnsi="Arial"/>
      <w:b/>
      <w:bCs/>
      <w:color w:val="2E75B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2026-06-22T17:40:55.671Z</dcterms:created>
  <dcterms:modified xsi:type="dcterms:W3CDTF">2026-06-22T17:40:55.671Z</dcterms:modified>
</cp:coreProperties>
</file>

<file path=docProps/custom.xml><?xml version="1.0" encoding="utf-8"?>
<Properties xmlns="http://schemas.openxmlformats.org/officeDocument/2006/custom-properties" xmlns:vt="http://schemas.openxmlformats.org/officeDocument/2006/docPropsVTypes"/>
</file>